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1F1EA225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581E8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E90ADF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D3549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23E5547D" w:rsidR="00A63DFF" w:rsidRPr="0088524C" w:rsidRDefault="00906D93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2FE71474" w:rsidR="00A63DFF" w:rsidRPr="0088524C" w:rsidRDefault="00906D93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30.11.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37B3BB75" w:rsidR="00A63DFF" w:rsidRPr="0088524C" w:rsidRDefault="00A63DFF" w:rsidP="00FD3549">
      <w:pPr>
        <w:pStyle w:val="Nagwek3"/>
        <w:spacing w:after="360" w:line="240" w:lineRule="auto"/>
        <w:ind w:left="284" w:hanging="284"/>
        <w:rPr>
          <w:color w:val="000000" w:themeColor="text1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79405977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E0997EA" w14:textId="77777777" w:rsidR="00615990" w:rsidRPr="001A5C9C" w:rsidRDefault="00615990" w:rsidP="00615990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12,67%</w:t>
            </w:r>
          </w:p>
          <w:p w14:paraId="16FE754B" w14:textId="77777777" w:rsidR="00615990" w:rsidRDefault="00615990" w:rsidP="00615990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A5C9C">
              <w:rPr>
                <w:rFonts w:ascii="Arial" w:hAnsi="Arial" w:cs="Arial"/>
                <w:color w:val="000000" w:themeColor="text1"/>
                <w:sz w:val="20"/>
                <w:szCs w:val="20"/>
              </w:rPr>
              <w:t>7,15%</w:t>
            </w:r>
          </w:p>
          <w:p w14:paraId="42408EDC" w14:textId="5C4D27D8" w:rsidR="00A63DFF" w:rsidRPr="00615990" w:rsidRDefault="00615990" w:rsidP="00615990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99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3AE68055" w:rsidR="00A63DFF" w:rsidRPr="00C01ED6" w:rsidRDefault="0098051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B54B3B">
              <w:rPr>
                <w:rFonts w:ascii="Arial" w:hAnsi="Arial" w:cs="Arial"/>
                <w:color w:val="000000" w:themeColor="text1"/>
                <w:sz w:val="20"/>
                <w:szCs w:val="20"/>
              </w:rPr>
              <w:t>5,31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28AD2FE6" w14:textId="77777777" w:rsidR="00FD3549" w:rsidRPr="00FD3549" w:rsidRDefault="00FD3549" w:rsidP="00FD3549">
      <w:pPr>
        <w:pStyle w:val="Nagwek3"/>
        <w:spacing w:after="200" w:line="240" w:lineRule="auto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BCE7FB3" w14:textId="5CC8D654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3BDC6F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DEC8A1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129EA7BD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346" w:type="dxa"/>
          </w:tcPr>
          <w:p w14:paraId="42D05CC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83C662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6E9382B7" w14:textId="77777777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106EFA3D" w14:textId="401D1374" w:rsidR="00906D93" w:rsidRDefault="0071090B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="00906D93" w:rsidRPr="000961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35B8997D" w14:textId="356F5E62" w:rsidR="00906D93" w:rsidRDefault="00906D93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zawarciu umowy na dostawę stacji odbioru danych satelitarnych (parametry stacji determinują wymagania i opis przedmiotu zamówienia dla wieży)</w:t>
            </w:r>
          </w:p>
          <w:p w14:paraId="305E8F1F" w14:textId="71BA0F1F" w:rsidR="00D422AC" w:rsidRPr="005B0EFC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293AB620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DFE10E0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4C69B993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Kongsberg Spacetec AS wyłonionego w 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drugiego postępowania w 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04D80CED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B9007D0" w14:textId="445F6E55" w:rsidR="00875CF4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Zarządzanie bezpieczeństwem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5FF93760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8331897" w14:textId="79FC3CE1" w:rsidR="00A63DFF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5B0EF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D834C5" w14:textId="77777777" w:rsid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2A82B4F" w14:textId="36A846BE" w:rsidR="000F4B2D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kamienia nie została podjęta z uwagi na trwające analizy wewnętrzne odnośnie możliwości realizacji zadania „zarządzanie bezpieczeństwem informacji i ciągłością działania” w trybie bezprzetargowym, tj. siłami własnymi Beneficjenta i przy wykorzystaniu posiadanych zasobów teleinformatycznych. </w:t>
            </w:r>
            <w:r w:rsidR="002774D3"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>W toku test</w:t>
            </w:r>
            <w:r w:rsid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="002774D3"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posiadanego oprogramowania pod kątem wykorzystania na potrzeby projektu.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26853CC7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04-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1831A7E6" w14:textId="77777777" w:rsidR="00A63DFF" w:rsidRPr="000F4B2D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519ACB1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BD08E7" w14:textId="77777777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4A36193" w14:textId="0E6B96E4" w:rsidR="00906D93" w:rsidRDefault="0071090B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="00906D93" w:rsidRPr="00581E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0E2DCAFE" w14:textId="4685D6D3" w:rsidR="00906D93" w:rsidRPr="00581E88" w:rsidRDefault="00906D93" w:rsidP="00581E88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Trudności w realizacji zamówienia na projekt architektoniczny i uzyskanie pozwolenia na budowę</w:t>
            </w:r>
          </w:p>
          <w:p w14:paraId="4402F101" w14:textId="59091E53" w:rsidR="00D422AC" w:rsidRPr="00C01ED6" w:rsidRDefault="00D422AC" w:rsidP="00906D9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65EE7E4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09-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C5F810A" w14:textId="4741AFCC" w:rsidR="00A63DFF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6FA9AA69" w14:textId="77777777" w:rsidR="00421EE4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FB68C4" w14:textId="77777777" w:rsid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556A6A2" w14:textId="4A04120C" w:rsidR="00421EE4" w:rsidRPr="00C01ED6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przeprowadzeniu postępowania przetargowego na roboty budowlane (j/w)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096F5731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01-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9ADFFD9" w14:textId="4CF5A518" w:rsidR="00A63DFF" w:rsidRPr="00D361DB" w:rsidRDefault="00CD35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52158D99" w14:textId="486DD2F8" w:rsidR="00CD35E4" w:rsidRPr="00C01ED6" w:rsidRDefault="004B5495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wynikające z nadania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wyższ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priorytet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pozostałym kluczowym zadaniom, w szczególności zamówieniu na dostawę stacji odbioru danych satelitarnych i pracom budowlanym 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stacjonarnego centrum 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analizowania i opracowywania danych satelitarnych. Wyposażenie centrum powinno nastąpić dopiero po zakończeniu prac budowlanych, stąd analogiczna kolejność działań w zakresie postępowań przetargowych dla obu tych zadań.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Dodatkowo 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post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powania na wyposażenie przed zawarciem umowy na prace budowlane rodziłoby zbyt duże ryzyko 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utraty spójności pomiędzy obydwoma inwestycjami.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0F70ADC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14756E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3B51B0EA" w:rsidR="00A63DFF" w:rsidRPr="006226EC" w:rsidRDefault="007C6CE7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77C2B724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35F3547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9444D3B" w14:textId="45F280E7" w:rsidR="00421EE4" w:rsidRPr="00C01ED6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opóźnienie w przeprowadzeniu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postępowania przetargowego na wyposażenie (jak poniżej)</w:t>
            </w: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52FD5A23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0D165C10" w14:textId="77777777" w:rsidR="00C42668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 Przyczyny opóźnienia są te same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co w tamtym postępowaniu. </w:t>
            </w:r>
          </w:p>
          <w:p w14:paraId="02E4FF1D" w14:textId="78865731" w:rsidR="000D009B" w:rsidRPr="00C01ED6" w:rsidRDefault="000D009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F80283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643F4B79" w14:textId="2526B694" w:rsidR="00421EE4" w:rsidRPr="00C01ED6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 opóźnienie w przeprowadzeniu postępowania przetargowego na wyposażenie (jak powyżej)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5895029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FD3549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FD3549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FD3549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FD3549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FD3549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FD3549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FD3549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FD3549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FD3549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FD3549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FD3549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FD3549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C246584" w14:textId="372CF60E" w:rsidR="00FD3549" w:rsidRDefault="00FD3549" w:rsidP="00FD3549">
      <w:pPr>
        <w:pStyle w:val="Akapitzlist"/>
        <w:spacing w:before="360" w:after="120" w:line="240" w:lineRule="auto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E85079" w14:textId="77777777" w:rsidR="00FD3549" w:rsidRPr="00FD3549" w:rsidRDefault="00FD3549" w:rsidP="00FD3549">
      <w:pPr>
        <w:pStyle w:val="Akapitzlist"/>
        <w:spacing w:before="360" w:after="120" w:line="240" w:lineRule="auto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6487FDA" w14:textId="77777777" w:rsidR="00FD3549" w:rsidRPr="00FD3549" w:rsidRDefault="00FD3549" w:rsidP="00FD3549">
      <w:pPr>
        <w:pStyle w:val="Akapitzlist"/>
        <w:spacing w:before="360" w:after="120" w:line="240" w:lineRule="auto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D329E1" w14:textId="1B577C4E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lastRenderedPageBreak/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7777777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6AAB912C" w14:textId="77777777" w:rsidR="00615990" w:rsidRDefault="00615990" w:rsidP="0061599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Dotychczasowe efekty podejmowanych działań: brak konieczności wprowadzania znaczących zmian w dokumentacji przetargowej w toku postępowań.</w:t>
            </w:r>
          </w:p>
          <w:p w14:paraId="52ED245E" w14:textId="77777777" w:rsidR="00615990" w:rsidRDefault="00615990" w:rsidP="0061599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Nastąpiła materializacja ryzyka w zakresie największego postępowania w projekcie: na dostawę stacji odbioru danych satelitarnych (konieczne było unieważnienie postępowania).</w:t>
            </w:r>
          </w:p>
          <w:p w14:paraId="0F4FD716" w14:textId="6E990CC0" w:rsidR="00D52FF9" w:rsidRPr="00C01ED6" w:rsidRDefault="00615990" w:rsidP="0061599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ramach środków zaradczych interdyscyplinarny zespół pracowników Beneficjenta dokonał analizy prawnej i faktycznej zaistniałej sytuacji i w jej wyniku rekomendował udzielenie zamówienia w trybie z wolnej ręki – w efekcie z końcem września b.r. zawarto umowę.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75C03290" w:rsidR="00A63DFF" w:rsidRPr="00C01ED6" w:rsidRDefault="00615990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7BADE2D9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6B8A260" w14:textId="267F813E" w:rsidR="00A63DFF" w:rsidRPr="00C01ED6" w:rsidRDefault="00615990" w:rsidP="0061599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zmniejszył się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(i tym samy nastąpiła redukcja prawdopodobieństwa z wysokiego na średnie)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wyniku podpisania umowy na dostawę stacji do odbioru danych Sentinel-1 od doświadczonego dostawcy. Ponadto operacyjny harmonogram projektu zmodyfikowano stosownie dla zapewnienia współpracy pomiędzy dostawcą stacji odbioru danych satelitarnych a wykonawcą masztu pod antenę, w rezultacie czego spodziewane jest zapewnienie kompatybilności rozwiązań i ograniczenie ryzyka braku możliwości wykorzystania zamówionej stacji.</w:t>
            </w:r>
          </w:p>
        </w:tc>
      </w:tr>
      <w:tr w:rsidR="00A63DFF" w:rsidRPr="00C01ED6" w14:paraId="3C30753B" w14:textId="77777777" w:rsidTr="00BC03AD">
        <w:tc>
          <w:tcPr>
            <w:tcW w:w="3232" w:type="dxa"/>
            <w:vAlign w:val="center"/>
          </w:tcPr>
          <w:p w14:paraId="3093D5B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w uzyskiwaniu pozwoleń na budowę</w:t>
            </w:r>
          </w:p>
          <w:p w14:paraId="327B394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3C514A89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lastRenderedPageBreak/>
              <w:t>Opóźnienia w realizacji projektu</w:t>
            </w:r>
          </w:p>
          <w:p w14:paraId="15A53945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Zwiększenie kosztów realizacji projektu</w:t>
            </w:r>
          </w:p>
        </w:tc>
        <w:tc>
          <w:tcPr>
            <w:tcW w:w="1559" w:type="dxa"/>
          </w:tcPr>
          <w:p w14:paraId="7E92DB3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</w:tcPr>
          <w:p w14:paraId="62EFB972" w14:textId="70952EC4" w:rsidR="00A63DFF" w:rsidRPr="00C01ED6" w:rsidRDefault="00615990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384" w:type="dxa"/>
          </w:tcPr>
          <w:p w14:paraId="21AA31BE" w14:textId="77777777" w:rsidR="00A63DFF" w:rsidRPr="00C01ED6" w:rsidRDefault="00A63DFF" w:rsidP="00BC03AD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7ECDAAF1" w14:textId="77777777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warunków realizacji prac budowlanych przez wykonawcę</w:t>
            </w:r>
          </w:p>
          <w:p w14:paraId="3323EE97" w14:textId="13C8812F" w:rsidR="00615990" w:rsidRDefault="00615990" w:rsidP="0061599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W wyniku precyzyjnego zdefiniowania zakresu prac uzyskano niezbędne pozwolenia. W okresie sprawozdawczym uprawomocniło się ostatnie spodziewane w projekcie pozwolenie na budowę. Tym samym w okresie sprawozdawczym zakres ryzyka uległ zdecydowanej redukcji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(w chwili obecnej zmniejszenie prawdopodobieństwa z wysokiego na niskie)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9430C02" w14:textId="0484E742" w:rsidR="00615990" w:rsidRPr="00C01ED6" w:rsidRDefault="00615990" w:rsidP="0061599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Jednocześnie w toku jego pozyskiwania ryzyko się zmaterializowało, przy czym efekty były ograniczane działaniami zaradczymi Beneficjenta w zakresie zwiększonego nadzoru nad realizacją umowy związanej z pozyskaniem pozwolenia.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DB3AF5C" w:rsidR="00A63DFF" w:rsidRPr="00C01ED6" w:rsidRDefault="00615990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18F3E9E3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606067E1" w14:textId="77777777" w:rsidR="00615990" w:rsidRDefault="00615990" w:rsidP="00615990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stąd zredukowano prawdopodobieństwo wystąpienia ryzyka (z wysokiego na średnie).</w:t>
            </w:r>
          </w:p>
          <w:p w14:paraId="63E06A5C" w14:textId="6D7E0857" w:rsidR="00615990" w:rsidRPr="00615990" w:rsidRDefault="00615990" w:rsidP="0061599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1712D723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97A251" w14:textId="77777777" w:rsidR="00A63DFF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53AE175" w14:textId="77777777" w:rsidR="00615990" w:rsidRDefault="00615990" w:rsidP="00615990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Oczekuje się, że w wyniku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3EE80BC9" w:rsidR="00615990" w:rsidRPr="00C01ED6" w:rsidRDefault="00615990" w:rsidP="00615990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zmian.</w:t>
            </w:r>
            <w:bookmarkStart w:id="1" w:name="_GoBack"/>
            <w:bookmarkEnd w:id="1"/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D3549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FD3549"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Nie dotyczy</w:t>
      </w:r>
    </w:p>
    <w:p w14:paraId="7A4448CF" w14:textId="5FA10896" w:rsidR="00A63DFF" w:rsidRPr="00FD3549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FD35DF9" w14:textId="77777777" w:rsidR="00FD3549" w:rsidRPr="00A44A5B" w:rsidRDefault="00FD3549" w:rsidP="00FD3549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</w:rPr>
      </w:pP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1072E141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615990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7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8"/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33328F" w:rsidRDefault="0033328F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33328F" w:rsidRDefault="0033328F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33328F" w:rsidRDefault="003332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33328F" w:rsidRDefault="00333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33328F" w:rsidRDefault="0033328F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33328F" w:rsidRDefault="0033328F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33328F" w:rsidRDefault="0033328F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33328F" w:rsidRDefault="00333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7"/>
  </w:num>
  <w:num w:numId="5">
    <w:abstractNumId w:val="12"/>
  </w:num>
  <w:num w:numId="6">
    <w:abstractNumId w:val="11"/>
  </w:num>
  <w:num w:numId="7">
    <w:abstractNumId w:val="0"/>
  </w:num>
  <w:num w:numId="8">
    <w:abstractNumId w:val="9"/>
  </w:num>
  <w:num w:numId="9">
    <w:abstractNumId w:val="15"/>
  </w:num>
  <w:num w:numId="10">
    <w:abstractNumId w:val="10"/>
  </w:num>
  <w:num w:numId="11">
    <w:abstractNumId w:val="18"/>
  </w:num>
  <w:num w:numId="12">
    <w:abstractNumId w:val="3"/>
  </w:num>
  <w:num w:numId="13">
    <w:abstractNumId w:val="8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19"/>
  </w:num>
  <w:num w:numId="19">
    <w:abstractNumId w:val="1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65E73"/>
    <w:rsid w:val="000D009B"/>
    <w:rsid w:val="000E0A55"/>
    <w:rsid w:val="000F4B2D"/>
    <w:rsid w:val="0016658C"/>
    <w:rsid w:val="001738BF"/>
    <w:rsid w:val="00212306"/>
    <w:rsid w:val="00214966"/>
    <w:rsid w:val="00227C49"/>
    <w:rsid w:val="00250E6D"/>
    <w:rsid w:val="00254ADE"/>
    <w:rsid w:val="00271D48"/>
    <w:rsid w:val="002774D3"/>
    <w:rsid w:val="00284038"/>
    <w:rsid w:val="002D7C74"/>
    <w:rsid w:val="002E4919"/>
    <w:rsid w:val="002F4973"/>
    <w:rsid w:val="00303489"/>
    <w:rsid w:val="00325EFD"/>
    <w:rsid w:val="0033328F"/>
    <w:rsid w:val="00401B97"/>
    <w:rsid w:val="00421EE4"/>
    <w:rsid w:val="00490920"/>
    <w:rsid w:val="00497D7A"/>
    <w:rsid w:val="004B5495"/>
    <w:rsid w:val="005213C3"/>
    <w:rsid w:val="005256E3"/>
    <w:rsid w:val="0053702E"/>
    <w:rsid w:val="00542DF5"/>
    <w:rsid w:val="00581E88"/>
    <w:rsid w:val="00584624"/>
    <w:rsid w:val="005A3C2C"/>
    <w:rsid w:val="005B0EFC"/>
    <w:rsid w:val="005D00E5"/>
    <w:rsid w:val="005F0D45"/>
    <w:rsid w:val="005F1ADD"/>
    <w:rsid w:val="005F69FC"/>
    <w:rsid w:val="0060421F"/>
    <w:rsid w:val="00614143"/>
    <w:rsid w:val="00615990"/>
    <w:rsid w:val="00620701"/>
    <w:rsid w:val="006226EC"/>
    <w:rsid w:val="00663ECA"/>
    <w:rsid w:val="00696B6A"/>
    <w:rsid w:val="006A5885"/>
    <w:rsid w:val="007031D0"/>
    <w:rsid w:val="007106BC"/>
    <w:rsid w:val="0071090B"/>
    <w:rsid w:val="0073052E"/>
    <w:rsid w:val="007645EB"/>
    <w:rsid w:val="0078025A"/>
    <w:rsid w:val="00785D54"/>
    <w:rsid w:val="007C101F"/>
    <w:rsid w:val="007C6CE7"/>
    <w:rsid w:val="007E038A"/>
    <w:rsid w:val="007F6248"/>
    <w:rsid w:val="008201DB"/>
    <w:rsid w:val="00825537"/>
    <w:rsid w:val="00831259"/>
    <w:rsid w:val="00875CF4"/>
    <w:rsid w:val="008A5D8F"/>
    <w:rsid w:val="008C1091"/>
    <w:rsid w:val="008F4964"/>
    <w:rsid w:val="008F74B6"/>
    <w:rsid w:val="00906D93"/>
    <w:rsid w:val="0090720B"/>
    <w:rsid w:val="00950CA5"/>
    <w:rsid w:val="00980511"/>
    <w:rsid w:val="009B2527"/>
    <w:rsid w:val="00A63DFF"/>
    <w:rsid w:val="00B028EE"/>
    <w:rsid w:val="00B33FF7"/>
    <w:rsid w:val="00B54B3B"/>
    <w:rsid w:val="00B702E9"/>
    <w:rsid w:val="00B70BB7"/>
    <w:rsid w:val="00B7690F"/>
    <w:rsid w:val="00BC03AD"/>
    <w:rsid w:val="00BC03ED"/>
    <w:rsid w:val="00BC207C"/>
    <w:rsid w:val="00BC5BFD"/>
    <w:rsid w:val="00BD369B"/>
    <w:rsid w:val="00BD38D2"/>
    <w:rsid w:val="00C30558"/>
    <w:rsid w:val="00C42668"/>
    <w:rsid w:val="00C457F0"/>
    <w:rsid w:val="00C76F52"/>
    <w:rsid w:val="00C8723C"/>
    <w:rsid w:val="00CC1F97"/>
    <w:rsid w:val="00CD35E4"/>
    <w:rsid w:val="00CF77C4"/>
    <w:rsid w:val="00D341F6"/>
    <w:rsid w:val="00D361DB"/>
    <w:rsid w:val="00D422AC"/>
    <w:rsid w:val="00D52FF9"/>
    <w:rsid w:val="00D940F4"/>
    <w:rsid w:val="00DD1B4E"/>
    <w:rsid w:val="00E760FF"/>
    <w:rsid w:val="00E76595"/>
    <w:rsid w:val="00E90ADF"/>
    <w:rsid w:val="00F15930"/>
    <w:rsid w:val="00F46300"/>
    <w:rsid w:val="00F959B9"/>
    <w:rsid w:val="00F96AAE"/>
    <w:rsid w:val="00FC6C1E"/>
    <w:rsid w:val="00FC6C62"/>
    <w:rsid w:val="00F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anna.harasiewicz@img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2020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Joanna Harasiewicz</cp:lastModifiedBy>
  <cp:revision>4</cp:revision>
  <cp:lastPrinted>2018-06-26T09:24:00Z</cp:lastPrinted>
  <dcterms:created xsi:type="dcterms:W3CDTF">2019-10-14T05:56:00Z</dcterms:created>
  <dcterms:modified xsi:type="dcterms:W3CDTF">2019-10-21T10:59:00Z</dcterms:modified>
</cp:coreProperties>
</file>